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3c78d8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c78d8"/>
          <w:sz w:val="26"/>
          <w:szCs w:val="26"/>
          <w:rtl w:val="0"/>
        </w:rPr>
        <w:t xml:space="preserve">Edenred México, certificada internacionalmente en calidad y seguridad informática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Como parte del crecimiento integral de Edenred México, y para seguir reforzando una mejor experiencia para sus miles de clientes y millones de usuarios en México en temas prioritarios como la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seguridad de la información y calidad de las soluciones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la empresa ha obtenido dos certificaciones en estándares internacionales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, la ISO/IEC 27001:2013 e ISO 9001:2015,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validando de esta forma que los servicios cumplen con las expectativas en sus dos productos principales: Vale Despensas Edenred y Ticket Car® Edenred.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Estas certificaciones contribuyen a la consecución de los tres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objetivos clave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 la empresa en beneficio de sus clientes: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Tener un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Sistema de Gestión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Integral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implementado al 100%.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Resguardar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la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información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asociada con los servicios relacionados a los monederos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Ticket Car®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Vale Despensas Edenred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preservando su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confidencialidad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integridad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disponibilidad-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Continuar demostrando que proporciona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servicios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que satisfacen y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exceden los requisitos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del cliente en materia de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calidad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¿Por qué es un gran hito empresarial tener estas certificaciones?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Porque gracias a ellas, las empresas pueden demostrar su capacidad para brindar la mejor calidad en sus servicios. Por ejemplo, la norma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ISO 9001:2015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 encarga de especificar los requisitos necesarios para un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sistema de gestión de calidad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que demuestre la capacidad de una compañía para proporcionar productos y servicios que satisfagan los requisitos del cliente y aspiren a aumentar la satisfacción del mismo.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Por su parte, la norma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ISO/IEC 27001:2013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especifica los requisitos para establecer, implementar, mantener y mejorar continuamente un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sistema de gestión de seguridad de la información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dentro del contexto de la organización. También incluye requisitos para la evaluación y el tratamiento de los riesgos de seguridad de la información adaptados a las necesidades de la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Las certificaciones mencionadas constituyen una manera efectiva de dar mayor tranquilidad a muchos clientes respecto al producto o servicio que están recibiendo por parte de una empresa. Además de este,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otros beneficios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reconocidos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por los estándares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son: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Mejor comprensión de la organización a través de la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planeación estratégica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Incremento de la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satisfacción del cliente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Medición del desempeño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 los procesos empresariales.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Aumento en la eficacia y eficiencia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de la organización.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Mejora del concepto de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la empresa por parte de la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comunidad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Reducción de pérdidas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en caso de que se materialice una situación de riesgo.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Generación de valor agregado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y confianza entre toda la organización, contribuyendo de forma importante a su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imagen corporativa.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Permite que los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procesos de seguridad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estén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equilibrados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coordinados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entre sí.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Permite crear metodologías que contribuyan a la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mitigación de los riesgos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y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incrementar el nivel de seguridad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en la información.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Genera valor agregado para la compañía, pues aún no son muchas las empresas que cuenten con la certificación de seguridad en la información.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Posibilita la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activación de alertas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en caso de que se llegue a presentar alguna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actividad sospechosa.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Permite un mejor seguimiento a los controles de seguridad empresarial.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Con estas acciones,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Edenred</w:t>
        </w:r>
      </w:hyperlink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sigue trabajando en pro de la excelencia corporativa que la ha caracterizado desde hace 40 años, manteniéndose a la vanguardia de la industria a través de la búsqueda continua de mejores prácticas y la optimización de estándares de operación y soluciones de calidad para sus clientes.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####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entury Gothic" w:cs="Century Gothic" w:eastAsia="Century Gothic" w:hAnsi="Century Gothic"/>
          <w:color w:val="00206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20"/>
          <w:szCs w:val="20"/>
          <w:rtl w:val="0"/>
        </w:rPr>
        <w:t xml:space="preserve">▬▬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8"/>
          <w:szCs w:val="18"/>
          <w:rtl w:val="0"/>
        </w:rPr>
        <w:t xml:space="preserve">Edenred 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es la plataforma líder en servicios y pagos, así como el compañero diario de los trabajadores, conectando a más de 50 millones de empleados y 2 millones de comercios asociados en 46 países a través de más de 850,000 clientes corporativos.</w:t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Edenred ofrece soluciones de pago con fines específicos para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8"/>
          <w:szCs w:val="18"/>
          <w:rtl w:val="0"/>
        </w:rPr>
        <w:t xml:space="preserve">la alimentación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 (vales de despensa y restaurante),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8"/>
          <w:szCs w:val="18"/>
          <w:rtl w:val="0"/>
        </w:rPr>
        <w:t xml:space="preserve">la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8"/>
          <w:szCs w:val="18"/>
          <w:rtl w:val="0"/>
        </w:rPr>
        <w:t xml:space="preserve">movilidad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 (tarjetas de combustible, mantenimiento, peaje y soluciones de desplazamiento),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8"/>
          <w:szCs w:val="18"/>
          <w:rtl w:val="0"/>
        </w:rPr>
        <w:t xml:space="preserve">los incentivos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 (tarjetas de regalo, plataformas de lealtad de empleados)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8"/>
          <w:szCs w:val="18"/>
          <w:rtl w:val="0"/>
        </w:rPr>
        <w:t xml:space="preserve">y los gastos corporativos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 (tarjetas virtuales). 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Fieles al propósito del Grupo: “Enriquecer conexiones. Para bien” estas soluciones mejoran el poder adquisitivo y el bienestar de los usuarios, mejoran el atractivo y la eficiencia de las empresas, revitalizando el mercado laboral y la economía local.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También fomentan el acceso a una alimentación más sana, a productos más respetuosos con el medio ambiente y a una movilidad más sencilla.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Century Gothic" w:cs="Century Gothic" w:eastAsia="Century Gothic" w:hAnsi="Century Gothic"/>
          <w:b w:val="1"/>
          <w:color w:val="16205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Los 10,000 empleados de Edenred están comprometidos para hacer del mundo un ecosistema conectado que sea más seguro, más eficiente y más responsable cada día. En 2020, gracias a sus activos tecnológicos globales, el Grupo gestionó cerca de €30 mil millones de volumen de negocio, principalmente a través de aplicaciones móviles, plataformas online y tarjetas.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162056"/>
          <w:sz w:val="18"/>
          <w:szCs w:val="18"/>
          <w:rtl w:val="0"/>
        </w:rPr>
        <w:t xml:space="preserve">Edenred cotiza en la bolsa Euronext de París y está incluida en los siguientes índices CAC Next 20, CAC Large 60, Euronext 100, FTSE4Good y MSCI Europe.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entury Gothic" w:cs="Century Gothic" w:eastAsia="Century Gothic" w:hAnsi="Century Gothic"/>
          <w:color w:val="16205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Los logotipos y otras marcas comerciales mencionadas y presentadas en este comunicado de prensa son marcas registradas de Edenred S.A., sus filiales o terceros. No pueden utilizarse con fines comerciales sin el consentimiento previo por escrito de sus propietarios.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▬▬</w:t>
      </w:r>
    </w:p>
    <w:p w:rsidR="00000000" w:rsidDel="00000000" w:rsidP="00000000" w:rsidRDefault="00000000" w:rsidRPr="00000000" w14:paraId="00000034">
      <w:pPr>
        <w:spacing w:line="259" w:lineRule="auto"/>
        <w:rPr>
          <w:rFonts w:ascii="Century Gothic" w:cs="Century Gothic" w:eastAsia="Century Gothic" w:hAnsi="Century Gothic"/>
          <w:b w:val="1"/>
          <w:color w:val="16205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62056"/>
          <w:sz w:val="18"/>
          <w:szCs w:val="18"/>
          <w:rtl w:val="0"/>
        </w:rPr>
        <w:t xml:space="preserve">CONTACTOS</w:t>
      </w: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55.9999999999995"/>
        <w:gridCol w:w="3155.9999999999995"/>
        <w:gridCol w:w="3155.9999999999995"/>
        <w:tblGridChange w:id="0">
          <w:tblGrid>
            <w:gridCol w:w="3155.9999999999995"/>
            <w:gridCol w:w="3155.9999999999995"/>
            <w:gridCol w:w="3155.9999999999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62056"/>
                <w:sz w:val="16"/>
                <w:szCs w:val="16"/>
                <w:rtl w:val="0"/>
              </w:rPr>
              <w:t xml:space="preserve">Marketing Communication &amp; PR Manager</w:t>
            </w:r>
          </w:p>
          <w:p w:rsidR="00000000" w:rsidDel="00000000" w:rsidP="00000000" w:rsidRDefault="00000000" w:rsidRPr="00000000" w14:paraId="00000036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Victoria Balboa</w:t>
            </w:r>
          </w:p>
          <w:p w:rsidR="00000000" w:rsidDel="00000000" w:rsidP="00000000" w:rsidRDefault="00000000" w:rsidRPr="00000000" w14:paraId="00000037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3555 8287</w:t>
            </w:r>
          </w:p>
          <w:p w:rsidR="00000000" w:rsidDel="00000000" w:rsidP="00000000" w:rsidRDefault="00000000" w:rsidRPr="00000000" w14:paraId="00000038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victoria.balboa@edenred.com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1204c"/>
                <w:sz w:val="16"/>
                <w:szCs w:val="16"/>
                <w:rtl w:val="0"/>
              </w:rPr>
              <w:t xml:space="preserve">Relaciones con prensa: another</w:t>
            </w:r>
          </w:p>
          <w:p w:rsidR="00000000" w:rsidDel="00000000" w:rsidP="00000000" w:rsidRDefault="00000000" w:rsidRPr="00000000" w14:paraId="0000003A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Ernesto Pacheco</w:t>
            </w:r>
          </w:p>
          <w:p w:rsidR="00000000" w:rsidDel="00000000" w:rsidP="00000000" w:rsidRDefault="00000000" w:rsidRPr="00000000" w14:paraId="0000003B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5213 5035</w:t>
            </w:r>
          </w:p>
          <w:p w:rsidR="00000000" w:rsidDel="00000000" w:rsidP="00000000" w:rsidRDefault="00000000" w:rsidRPr="00000000" w14:paraId="0000003C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color w:val="0563c1"/>
                  <w:sz w:val="16"/>
                  <w:szCs w:val="16"/>
                  <w:u w:val="single"/>
                  <w:rtl w:val="0"/>
                </w:rPr>
                <w:t xml:space="preserve">ernesto.pacheco@another.co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62056"/>
                <w:sz w:val="16"/>
                <w:szCs w:val="16"/>
                <w:rtl w:val="0"/>
              </w:rPr>
              <w:t xml:space="preserve">Emmanuel Zaragoza</w:t>
            </w:r>
          </w:p>
          <w:p w:rsidR="00000000" w:rsidDel="00000000" w:rsidP="00000000" w:rsidRDefault="00000000" w:rsidRPr="00000000" w14:paraId="0000003E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  <w:rtl w:val="0"/>
              </w:rPr>
              <w:t xml:space="preserve">+52 (55) 4903 5434</w:t>
            </w:r>
          </w:p>
          <w:p w:rsidR="00000000" w:rsidDel="00000000" w:rsidP="00000000" w:rsidRDefault="00000000" w:rsidRPr="00000000" w14:paraId="0000003F">
            <w:pPr>
              <w:spacing w:line="259" w:lineRule="auto"/>
              <w:rPr>
                <w:rFonts w:ascii="Century Gothic" w:cs="Century Gothic" w:eastAsia="Century Gothic" w:hAnsi="Century Gothic"/>
                <w:color w:val="162056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16"/>
                  <w:szCs w:val="16"/>
                  <w:u w:val="single"/>
                  <w:rtl w:val="0"/>
                </w:rPr>
                <w:t xml:space="preserve">emmanuel.zaragoza@another.co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373968" cy="880942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3968" cy="8809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F5D9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F5D90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BA0F4D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D69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D693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D69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D693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D693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emmanuel.zaragoza@another.co" TargetMode="External"/><Relationship Id="rId9" Type="http://schemas.openxmlformats.org/officeDocument/2006/relationships/hyperlink" Target="mailto:ernesto.pacheco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denred.mx/#conocenos" TargetMode="External"/><Relationship Id="rId8" Type="http://schemas.openxmlformats.org/officeDocument/2006/relationships/hyperlink" Target="mailto:victoria.balboa@edenre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102HpXfENAGhuNlTLhhI0qysLQ==">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2021-09-06T03:07:00Z</dcterms:created>
  <dc:creator>BALBOA Victoria</dc:creator>
</cp:coreProperties>
</file>